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2F" w:rsidRDefault="005B2AB4" w:rsidP="005B2AB4">
      <w:pPr>
        <w:rPr>
          <w:rFonts w:ascii="Verdana" w:hAnsi="Verdana"/>
          <w:b/>
          <w:color w:val="0098C3"/>
        </w:rPr>
      </w:pPr>
      <w:r>
        <w:rPr>
          <w:rFonts w:ascii="Verdana" w:hAnsi="Verdana"/>
          <w:b/>
          <w:noProof/>
          <w:color w:val="0098C3"/>
          <w:lang w:eastAsia="en-US"/>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-85725</wp:posOffset>
                </wp:positionV>
                <wp:extent cx="2447925" cy="6762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447925" cy="676275"/>
                        </a:xfrm>
                        <a:prstGeom prst="rect">
                          <a:avLst/>
                        </a:prstGeom>
                        <a:solidFill>
                          <a:schemeClr val="lt1"/>
                        </a:solidFill>
                        <a:ln w="6350">
                          <a:noFill/>
                        </a:ln>
                      </wps:spPr>
                      <wps:txbx>
                        <w:txbxContent>
                          <w:p w:rsidR="002F3EFD" w:rsidRPr="00D67929" w:rsidRDefault="002F3EFD">
                            <w:pPr>
                              <w:rPr>
                                <w:b/>
                                <w:color w:val="000000" w:themeColor="text1"/>
                                <w:sz w:val="20"/>
                                <w:szCs w:val="28"/>
                              </w:rPr>
                            </w:pPr>
                          </w:p>
                          <w:p w:rsidR="005B2AB4" w:rsidRPr="00D67929" w:rsidRDefault="005B2AB4">
                            <w:pPr>
                              <w:rPr>
                                <w:b/>
                                <w:color w:val="000000" w:themeColor="text1"/>
                                <w:sz w:val="28"/>
                                <w:szCs w:val="28"/>
                              </w:rPr>
                            </w:pPr>
                            <w:r w:rsidRPr="00D67929">
                              <w:rPr>
                                <w:b/>
                                <w:color w:val="000000" w:themeColor="text1"/>
                                <w:sz w:val="28"/>
                                <w:szCs w:val="28"/>
                              </w:rPr>
                              <w:t xml:space="preserve">Nursing Education and Professional Development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1.55pt;margin-top:-6.75pt;width:192.75pt;height:53.2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" fillcolor="white [3201]" stroked="f" strokeweight=".5pt">
                <v:textbox>
                  <w:txbxContent>
                    <w:p w:rsidR="002F3EFD" w:rsidRPr="00D67929" w:rsidRDefault="002F3EFD">
                      <w:pPr>
                        <w:rPr>
                          <w:b/>
                          <w:color w:val="000000" w:themeColor="text1"/>
                          <w:sz w:val="20"/>
                          <w:szCs w:val="28"/>
                        </w:rPr>
                      </w:pPr>
                    </w:p>
                    <w:p w:rsidR="005B2AB4" w:rsidRPr="00D67929" w:rsidRDefault="005B2AB4">
                      <w:pPr>
                        <w:rPr>
                          <w:b/>
                          <w:color w:val="000000" w:themeColor="text1"/>
                          <w:sz w:val="28"/>
                          <w:szCs w:val="28"/>
                        </w:rPr>
                      </w:pPr>
                      <w:r w:rsidRPr="00D67929">
                        <w:rPr>
                          <w:b/>
                          <w:color w:val="000000" w:themeColor="text1"/>
                          <w:sz w:val="28"/>
                          <w:szCs w:val="28"/>
                        </w:rPr>
                        <w:t xml:space="preserve">Nursing Education and Professional Development </w:t>
                      </w:r>
                    </w:p>
                  </w:txbxContent>
                </v:textbox>
                <w10:wrap anchorx="margin"/>
              </v:shape>
            </w:pict>
          </mc:Fallback>
        </mc:AlternateContent>
      </w:r>
      <w:bookmarkStart w:id="0" w:name="_GoBack"/>
      <w:r w:rsidRPr="005B2AB4">
        <w:rPr>
          <w:rFonts w:ascii="Verdana" w:eastAsia="Times New Roman" w:hAnsi="Verdana" w:cs="Times New Roman"/>
          <w:b/>
          <w:noProof/>
          <w:color w:val="0098C3"/>
          <w:sz w:val="22"/>
          <w:szCs w:val="22"/>
          <w:lang w:eastAsia="en-US"/>
        </w:rPr>
        <w:drawing>
          <wp:inline distT="0" distB="0" distL="0" distR="0" wp14:anchorId="5BA01D21" wp14:editId="288A5AAC">
            <wp:extent cx="1641713"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9241" cy="719690"/>
                    </a:xfrm>
                    <a:prstGeom prst="rect">
                      <a:avLst/>
                    </a:prstGeom>
                    <a:noFill/>
                  </pic:spPr>
                </pic:pic>
              </a:graphicData>
            </a:graphic>
          </wp:inline>
        </w:drawing>
      </w:r>
      <w:bookmarkEnd w:id="0"/>
    </w:p>
    <w:p w:rsidR="00861D0E" w:rsidRDefault="00D67929" w:rsidP="00437B0D">
      <w:pPr>
        <w:rPr>
          <w:rFonts w:ascii="Verdana" w:hAnsi="Verdana"/>
          <w:b/>
          <w:color w:val="0098C3"/>
        </w:rPr>
      </w:pPr>
    </w:p>
    <w:p w:rsidR="005D2A16" w:rsidRPr="0080618C" w:rsidRDefault="00C73AC4" w:rsidP="0030050C">
      <w:pPr>
        <w:jc w:val="center"/>
        <w:rPr>
          <w:noProof/>
          <w:color w:val="0098C3"/>
          <w:sz w:val="52"/>
          <w:szCs w:val="44"/>
        </w:rPr>
      </w:pPr>
      <w:r w:rsidRPr="0080618C">
        <w:rPr>
          <w:noProof/>
          <w:color w:val="D2492A"/>
          <w:sz w:val="72"/>
          <w:szCs w:val="44"/>
        </w:rPr>
        <w:t xml:space="preserve">HHC System </w:t>
      </w:r>
      <w:r w:rsidR="009D6862" w:rsidRPr="0080618C">
        <w:rPr>
          <w:noProof/>
          <w:color w:val="D2492A"/>
          <w:sz w:val="72"/>
          <w:szCs w:val="44"/>
        </w:rPr>
        <w:t>Grand Rounds</w:t>
      </w:r>
    </w:p>
    <w:p w:rsidR="009D6862" w:rsidRPr="0080618C" w:rsidRDefault="005B2AB4" w:rsidP="0030050C">
      <w:pPr>
        <w:jc w:val="center"/>
        <w:rPr>
          <w:b/>
          <w:color w:val="0098C3"/>
          <w:sz w:val="48"/>
          <w:szCs w:val="44"/>
        </w:rPr>
      </w:pPr>
      <w:r w:rsidRPr="0080618C">
        <w:rPr>
          <w:b/>
          <w:noProof/>
          <w:color w:val="0098C3"/>
          <w:sz w:val="56"/>
          <w:szCs w:val="44"/>
        </w:rPr>
        <w:t xml:space="preserve">Guidelines for Managing </w:t>
      </w:r>
      <w:r w:rsidR="00162367" w:rsidRPr="0080618C">
        <w:rPr>
          <w:b/>
          <w:noProof/>
          <w:color w:val="0098C3"/>
          <w:sz w:val="56"/>
          <w:szCs w:val="44"/>
        </w:rPr>
        <w:t>Acute Seizures</w:t>
      </w:r>
      <w:r w:rsidR="00C73AC4" w:rsidRPr="0080618C">
        <w:rPr>
          <w:b/>
          <w:noProof/>
          <w:color w:val="0098C3"/>
          <w:sz w:val="56"/>
          <w:szCs w:val="44"/>
        </w:rPr>
        <w:t xml:space="preserve"> &amp; </w:t>
      </w:r>
      <w:r w:rsidR="009D6862" w:rsidRPr="0080618C">
        <w:rPr>
          <w:b/>
          <w:noProof/>
          <w:color w:val="0098C3"/>
          <w:sz w:val="56"/>
          <w:szCs w:val="44"/>
        </w:rPr>
        <w:t>Status Epilepticus</w:t>
      </w:r>
      <w:r w:rsidR="009D6862" w:rsidRPr="0080618C">
        <w:rPr>
          <w:b/>
          <w:noProof/>
          <w:color w:val="0098C3"/>
          <w:sz w:val="48"/>
          <w:szCs w:val="44"/>
        </w:rPr>
        <w:t xml:space="preserve"> </w:t>
      </w:r>
    </w:p>
    <w:p w:rsidR="005D2A16" w:rsidRPr="0080618C" w:rsidRDefault="00D67929" w:rsidP="0030050C">
      <w:pPr>
        <w:jc w:val="center"/>
        <w:rPr>
          <w:color w:val="000000" w:themeColor="text1"/>
          <w:sz w:val="8"/>
          <w:szCs w:val="12"/>
        </w:rPr>
      </w:pPr>
    </w:p>
    <w:p w:rsidR="005D2A16" w:rsidRPr="0080618C" w:rsidRDefault="006E622E" w:rsidP="0030050C">
      <w:pPr>
        <w:jc w:val="center"/>
        <w:rPr>
          <w:color w:val="000000" w:themeColor="text1"/>
          <w:szCs w:val="22"/>
        </w:rPr>
      </w:pPr>
      <w:proofErr w:type="gramStart"/>
      <w:r w:rsidRPr="0080618C">
        <w:rPr>
          <w:color w:val="000000" w:themeColor="text1"/>
          <w:szCs w:val="22"/>
        </w:rPr>
        <w:t>presented</w:t>
      </w:r>
      <w:proofErr w:type="gramEnd"/>
      <w:r w:rsidRPr="0080618C">
        <w:rPr>
          <w:color w:val="000000" w:themeColor="text1"/>
          <w:szCs w:val="22"/>
        </w:rPr>
        <w:t xml:space="preserve"> by</w:t>
      </w:r>
    </w:p>
    <w:p w:rsidR="005D2A16" w:rsidRPr="0080618C" w:rsidRDefault="00D67929" w:rsidP="0030050C">
      <w:pPr>
        <w:jc w:val="center"/>
        <w:rPr>
          <w:color w:val="000000" w:themeColor="text1"/>
          <w:sz w:val="8"/>
          <w:szCs w:val="12"/>
        </w:rPr>
      </w:pPr>
    </w:p>
    <w:p w:rsidR="0066082F" w:rsidRPr="0080618C" w:rsidRDefault="009D6862" w:rsidP="0030050C">
      <w:pPr>
        <w:jc w:val="center"/>
        <w:rPr>
          <w:b/>
          <w:color w:val="000000" w:themeColor="text1"/>
          <w:sz w:val="36"/>
          <w:szCs w:val="28"/>
        </w:rPr>
      </w:pPr>
      <w:r w:rsidRPr="0080618C">
        <w:rPr>
          <w:b/>
          <w:noProof/>
          <w:color w:val="000000" w:themeColor="text1"/>
          <w:sz w:val="36"/>
          <w:szCs w:val="28"/>
        </w:rPr>
        <w:t>Gabe Martz,</w:t>
      </w:r>
      <w:r w:rsidR="006E622E" w:rsidRPr="0080618C">
        <w:rPr>
          <w:b/>
          <w:color w:val="000000" w:themeColor="text1"/>
          <w:sz w:val="36"/>
          <w:szCs w:val="28"/>
        </w:rPr>
        <w:t xml:space="preserve"> MD</w:t>
      </w:r>
    </w:p>
    <w:p w:rsidR="006E622E" w:rsidRPr="0080618C" w:rsidRDefault="009D6862" w:rsidP="0030050C">
      <w:pPr>
        <w:jc w:val="center"/>
        <w:rPr>
          <w:color w:val="000000" w:themeColor="text1"/>
        </w:rPr>
      </w:pPr>
      <w:r w:rsidRPr="0080618C">
        <w:rPr>
          <w:color w:val="000000" w:themeColor="text1"/>
        </w:rPr>
        <w:t>Medical Director, Comprehensive Epilepsy Center</w:t>
      </w:r>
    </w:p>
    <w:p w:rsidR="00905AC1" w:rsidRPr="0080618C" w:rsidRDefault="00D67929" w:rsidP="0030050C">
      <w:pPr>
        <w:jc w:val="center"/>
        <w:rPr>
          <w:b/>
          <w:color w:val="000000" w:themeColor="text1"/>
          <w:sz w:val="12"/>
        </w:rPr>
      </w:pPr>
    </w:p>
    <w:p w:rsidR="009D6862" w:rsidRPr="0080618C" w:rsidRDefault="009D6862" w:rsidP="009D6862">
      <w:pPr>
        <w:jc w:val="center"/>
        <w:rPr>
          <w:b/>
          <w:color w:val="000000" w:themeColor="text1"/>
          <w:sz w:val="36"/>
          <w:szCs w:val="28"/>
        </w:rPr>
      </w:pPr>
      <w:r w:rsidRPr="0080618C">
        <w:rPr>
          <w:b/>
          <w:noProof/>
          <w:color w:val="000000" w:themeColor="text1"/>
          <w:sz w:val="36"/>
          <w:szCs w:val="28"/>
        </w:rPr>
        <w:t>A</w:t>
      </w:r>
      <w:r w:rsidR="00162367" w:rsidRPr="0080618C">
        <w:rPr>
          <w:b/>
          <w:noProof/>
          <w:color w:val="000000" w:themeColor="text1"/>
          <w:sz w:val="36"/>
          <w:szCs w:val="28"/>
        </w:rPr>
        <w:t>u</w:t>
      </w:r>
      <w:r w:rsidRPr="0080618C">
        <w:rPr>
          <w:b/>
          <w:noProof/>
          <w:color w:val="000000" w:themeColor="text1"/>
          <w:sz w:val="36"/>
          <w:szCs w:val="28"/>
        </w:rPr>
        <w:t>gusto Parra,</w:t>
      </w:r>
      <w:r w:rsidRPr="0080618C">
        <w:rPr>
          <w:b/>
          <w:color w:val="000000" w:themeColor="text1"/>
          <w:sz w:val="36"/>
          <w:szCs w:val="28"/>
        </w:rPr>
        <w:t xml:space="preserve"> MD</w:t>
      </w:r>
    </w:p>
    <w:p w:rsidR="009D6862" w:rsidRPr="0080618C" w:rsidRDefault="009D6862" w:rsidP="009D6862">
      <w:pPr>
        <w:jc w:val="center"/>
        <w:rPr>
          <w:color w:val="000000" w:themeColor="text1"/>
        </w:rPr>
      </w:pPr>
      <w:r w:rsidRPr="0080618C">
        <w:rPr>
          <w:color w:val="000000" w:themeColor="text1"/>
        </w:rPr>
        <w:t>Director of Neurocritical Care</w:t>
      </w:r>
    </w:p>
    <w:p w:rsidR="009D6862" w:rsidRPr="0080618C" w:rsidRDefault="009D6862" w:rsidP="009D6862">
      <w:pPr>
        <w:jc w:val="center"/>
        <w:rPr>
          <w:b/>
          <w:color w:val="000000" w:themeColor="text1"/>
          <w:sz w:val="12"/>
        </w:rPr>
      </w:pPr>
    </w:p>
    <w:p w:rsidR="009D6862" w:rsidRPr="0080618C" w:rsidRDefault="009D6862" w:rsidP="009D6862">
      <w:pPr>
        <w:jc w:val="center"/>
        <w:rPr>
          <w:b/>
          <w:color w:val="000000" w:themeColor="text1"/>
          <w:sz w:val="36"/>
          <w:szCs w:val="28"/>
        </w:rPr>
      </w:pPr>
      <w:r w:rsidRPr="0080618C">
        <w:rPr>
          <w:b/>
          <w:noProof/>
          <w:color w:val="000000" w:themeColor="text1"/>
          <w:sz w:val="36"/>
          <w:szCs w:val="28"/>
        </w:rPr>
        <w:t>Judith M. Tartaglia, RN, MSN, CCRN-K, TCRN</w:t>
      </w:r>
    </w:p>
    <w:p w:rsidR="009D6862" w:rsidRPr="0080618C" w:rsidRDefault="009D6862" w:rsidP="009D6862">
      <w:pPr>
        <w:jc w:val="center"/>
        <w:rPr>
          <w:color w:val="000000" w:themeColor="text1"/>
        </w:rPr>
      </w:pPr>
      <w:r w:rsidRPr="0080618C">
        <w:rPr>
          <w:color w:val="000000" w:themeColor="text1"/>
        </w:rPr>
        <w:t>Critical Care Nurse Educator</w:t>
      </w:r>
    </w:p>
    <w:p w:rsidR="009D6862" w:rsidRPr="0080618C" w:rsidRDefault="002F3EFD" w:rsidP="002F3EFD">
      <w:pPr>
        <w:tabs>
          <w:tab w:val="left" w:pos="6870"/>
        </w:tabs>
        <w:rPr>
          <w:b/>
          <w:color w:val="000000" w:themeColor="text1"/>
          <w:sz w:val="12"/>
        </w:rPr>
      </w:pPr>
      <w:r w:rsidRPr="0080618C">
        <w:rPr>
          <w:b/>
          <w:color w:val="000000" w:themeColor="text1"/>
        </w:rPr>
        <w:tab/>
      </w:r>
    </w:p>
    <w:p w:rsidR="009D6862" w:rsidRPr="0080618C" w:rsidRDefault="009D6862" w:rsidP="009D6862">
      <w:pPr>
        <w:jc w:val="center"/>
        <w:rPr>
          <w:b/>
          <w:color w:val="000000" w:themeColor="text1"/>
          <w:sz w:val="32"/>
          <w:szCs w:val="28"/>
        </w:rPr>
      </w:pPr>
      <w:r w:rsidRPr="0080618C">
        <w:rPr>
          <w:b/>
          <w:noProof/>
          <w:color w:val="000000" w:themeColor="text1"/>
          <w:sz w:val="36"/>
          <w:szCs w:val="28"/>
        </w:rPr>
        <w:t>Anna Cantin, PharmD, BCPS</w:t>
      </w:r>
    </w:p>
    <w:p w:rsidR="00CD4A43" w:rsidRPr="0080618C" w:rsidRDefault="0068538F" w:rsidP="00495916">
      <w:pPr>
        <w:jc w:val="center"/>
        <w:rPr>
          <w:color w:val="D2492A"/>
          <w:sz w:val="28"/>
        </w:rPr>
      </w:pPr>
      <w:r w:rsidRPr="0080618C">
        <w:rPr>
          <w:color w:val="000000" w:themeColor="text1"/>
        </w:rPr>
        <w:t>Clinical Pharmacy Specialist - Neurosciences</w:t>
      </w:r>
      <w:r w:rsidR="00CD4A43" w:rsidRPr="0080618C">
        <w:rPr>
          <w:rFonts w:cs="Arial"/>
          <w:sz w:val="20"/>
          <w:szCs w:val="20"/>
        </w:rPr>
        <w:br/>
      </w:r>
    </w:p>
    <w:p w:rsidR="00C73AC4" w:rsidRPr="0080618C" w:rsidRDefault="00C73AC4" w:rsidP="00C73AC4">
      <w:pPr>
        <w:jc w:val="center"/>
        <w:rPr>
          <w:b/>
          <w:color w:val="0098C3"/>
          <w:sz w:val="44"/>
          <w:szCs w:val="32"/>
        </w:rPr>
      </w:pPr>
      <w:r w:rsidRPr="0080618C">
        <w:rPr>
          <w:b/>
          <w:noProof/>
          <w:color w:val="0098C3"/>
          <w:sz w:val="52"/>
          <w:szCs w:val="32"/>
        </w:rPr>
        <w:t>June 6, 2022, 5pm-6pm</w:t>
      </w:r>
      <w:r w:rsidRPr="0080618C">
        <w:rPr>
          <w:b/>
          <w:noProof/>
          <w:color w:val="0098C3"/>
          <w:sz w:val="44"/>
          <w:szCs w:val="32"/>
        </w:rPr>
        <w:t xml:space="preserve"> </w:t>
      </w:r>
    </w:p>
    <w:p w:rsidR="00C73AC4" w:rsidRPr="0080618C" w:rsidRDefault="00645B39" w:rsidP="0080618C">
      <w:pPr>
        <w:autoSpaceDE w:val="0"/>
        <w:autoSpaceDN w:val="0"/>
        <w:adjustRightInd w:val="0"/>
        <w:jc w:val="center"/>
        <w:rPr>
          <w:rFonts w:cs="Arial"/>
          <w:b/>
          <w:sz w:val="32"/>
        </w:rPr>
      </w:pPr>
      <w:hyperlink r:id="rId7" w:history="1">
        <w:r w:rsidRPr="00645B39">
          <w:rPr>
            <w:rStyle w:val="Hyperlink"/>
            <w:rFonts w:cs="Arial"/>
            <w:b/>
            <w:sz w:val="32"/>
          </w:rPr>
          <w:t>https://hartfordhealthcare.zoom.us/j/99033300234</w:t>
        </w:r>
      </w:hyperlink>
    </w:p>
    <w:p w:rsidR="00C73AC4" w:rsidRPr="0080618C" w:rsidRDefault="00C73AC4" w:rsidP="0080618C">
      <w:pPr>
        <w:pStyle w:val="ListParagraph"/>
        <w:ind w:left="0"/>
        <w:jc w:val="center"/>
        <w:rPr>
          <w:rFonts w:asciiTheme="minorHAnsi" w:hAnsiTheme="minorHAnsi" w:cs="Arial"/>
          <w:sz w:val="22"/>
          <w:szCs w:val="20"/>
        </w:rPr>
      </w:pPr>
      <w:r w:rsidRPr="0080618C">
        <w:rPr>
          <w:rFonts w:asciiTheme="minorHAnsi" w:hAnsiTheme="minorHAnsi" w:cs="Arial"/>
          <w:sz w:val="28"/>
        </w:rPr>
        <w:t xml:space="preserve">Meeting ID: 990 3330 0234 </w:t>
      </w:r>
      <w:r w:rsidRPr="0080618C">
        <w:rPr>
          <w:rFonts w:asciiTheme="minorHAnsi" w:hAnsiTheme="minorHAnsi" w:cs="Arial"/>
          <w:sz w:val="28"/>
        </w:rPr>
        <w:br/>
      </w:r>
      <w:r w:rsidRPr="00645B39">
        <w:rPr>
          <w:rFonts w:asciiTheme="minorHAnsi" w:hAnsiTheme="minorHAnsi" w:cs="Arial"/>
          <w:sz w:val="28"/>
          <w:szCs w:val="20"/>
        </w:rPr>
        <w:t>Mobile Phone: +13017158592,</w:t>
      </w:r>
      <w:proofErr w:type="gramStart"/>
      <w:r w:rsidRPr="00645B39">
        <w:rPr>
          <w:rFonts w:asciiTheme="minorHAnsi" w:hAnsiTheme="minorHAnsi" w:cs="Arial"/>
          <w:sz w:val="28"/>
          <w:szCs w:val="20"/>
        </w:rPr>
        <w:t>,99033300234</w:t>
      </w:r>
      <w:proofErr w:type="gramEnd"/>
      <w:r w:rsidRPr="00645B39">
        <w:rPr>
          <w:rFonts w:asciiTheme="minorHAnsi" w:hAnsiTheme="minorHAnsi" w:cs="Arial"/>
          <w:sz w:val="28"/>
          <w:szCs w:val="20"/>
        </w:rPr>
        <w:t xml:space="preserve"> (US)</w:t>
      </w:r>
    </w:p>
    <w:p w:rsidR="002F3EFD" w:rsidRPr="0080618C" w:rsidRDefault="002F3EFD" w:rsidP="0080618C">
      <w:pPr>
        <w:rPr>
          <w:rFonts w:cs="Arial"/>
          <w:sz w:val="18"/>
        </w:rPr>
      </w:pPr>
    </w:p>
    <w:p w:rsidR="00E1030C" w:rsidRPr="0080618C" w:rsidRDefault="005B2AB4" w:rsidP="002F3EFD">
      <w:pPr>
        <w:rPr>
          <w:color w:val="000000" w:themeColor="text1"/>
          <w:sz w:val="28"/>
          <w:szCs w:val="28"/>
        </w:rPr>
      </w:pPr>
      <w:r w:rsidRPr="0080618C">
        <w:rPr>
          <w:color w:val="000000" w:themeColor="text1"/>
          <w:sz w:val="28"/>
          <w:szCs w:val="32"/>
        </w:rPr>
        <w:t>Target Audience:</w:t>
      </w:r>
      <w:r w:rsidRPr="0080618C">
        <w:rPr>
          <w:color w:val="000000" w:themeColor="text1"/>
          <w:szCs w:val="28"/>
        </w:rPr>
        <w:t xml:space="preserve"> </w:t>
      </w:r>
      <w:r w:rsidR="00D440D5" w:rsidRPr="0080618C">
        <w:rPr>
          <w:color w:val="000000" w:themeColor="text1"/>
          <w:sz w:val="28"/>
          <w:szCs w:val="32"/>
        </w:rPr>
        <w:t xml:space="preserve">Clinical Nurses, </w:t>
      </w:r>
      <w:r w:rsidR="00495916" w:rsidRPr="0080618C">
        <w:rPr>
          <w:color w:val="000000" w:themeColor="text1"/>
          <w:sz w:val="28"/>
          <w:szCs w:val="32"/>
        </w:rPr>
        <w:t xml:space="preserve">Healthcare </w:t>
      </w:r>
      <w:r w:rsidR="00D440D5" w:rsidRPr="0080618C">
        <w:rPr>
          <w:color w:val="000000" w:themeColor="text1"/>
          <w:sz w:val="28"/>
          <w:szCs w:val="32"/>
        </w:rPr>
        <w:t xml:space="preserve">Providers, </w:t>
      </w:r>
      <w:r w:rsidR="00C73AC4" w:rsidRPr="0080618C">
        <w:rPr>
          <w:color w:val="000000" w:themeColor="text1"/>
          <w:sz w:val="28"/>
          <w:szCs w:val="32"/>
        </w:rPr>
        <w:t>Pharmacists</w:t>
      </w:r>
    </w:p>
    <w:p w:rsidR="002F3EFD" w:rsidRPr="0080618C" w:rsidRDefault="002F3EFD" w:rsidP="00C73AC4">
      <w:pPr>
        <w:rPr>
          <w:color w:val="000000" w:themeColor="text1"/>
          <w:sz w:val="14"/>
          <w:szCs w:val="28"/>
        </w:rPr>
      </w:pPr>
    </w:p>
    <w:p w:rsidR="00495916" w:rsidRPr="0080618C" w:rsidRDefault="00576770" w:rsidP="00C73AC4">
      <w:pPr>
        <w:rPr>
          <w:color w:val="000000" w:themeColor="text1"/>
          <w:sz w:val="28"/>
          <w:szCs w:val="28"/>
        </w:rPr>
      </w:pPr>
      <w:r w:rsidRPr="0080618C">
        <w:rPr>
          <w:color w:val="000000" w:themeColor="text1"/>
          <w:sz w:val="28"/>
          <w:szCs w:val="28"/>
        </w:rPr>
        <w:t>Learning Objectives:</w:t>
      </w:r>
    </w:p>
    <w:p w:rsidR="00495916" w:rsidRPr="0080618C" w:rsidRDefault="00495916" w:rsidP="00C73AC4">
      <w:pPr>
        <w:pStyle w:val="ListParagraph"/>
        <w:numPr>
          <w:ilvl w:val="0"/>
          <w:numId w:val="4"/>
        </w:numPr>
        <w:rPr>
          <w:rFonts w:asciiTheme="minorHAnsi" w:hAnsiTheme="minorHAnsi"/>
          <w:color w:val="000000" w:themeColor="text1"/>
          <w:sz w:val="28"/>
          <w:szCs w:val="28"/>
        </w:rPr>
      </w:pPr>
      <w:r w:rsidRPr="0080618C">
        <w:rPr>
          <w:rFonts w:asciiTheme="minorHAnsi" w:hAnsiTheme="minorHAnsi"/>
          <w:color w:val="000000" w:themeColor="text1"/>
          <w:sz w:val="28"/>
          <w:szCs w:val="28"/>
        </w:rPr>
        <w:t>Discuss the evidence-based approaches in managing Acute Seizures- Status Epilepticus</w:t>
      </w:r>
    </w:p>
    <w:p w:rsidR="00495916" w:rsidRPr="0080618C" w:rsidRDefault="00495916" w:rsidP="00C73AC4">
      <w:pPr>
        <w:pStyle w:val="ListParagraph"/>
        <w:numPr>
          <w:ilvl w:val="0"/>
          <w:numId w:val="4"/>
        </w:numPr>
        <w:rPr>
          <w:rFonts w:asciiTheme="minorHAnsi" w:hAnsiTheme="minorHAnsi"/>
          <w:color w:val="000000" w:themeColor="text1"/>
          <w:sz w:val="28"/>
          <w:szCs w:val="28"/>
        </w:rPr>
      </w:pPr>
      <w:r w:rsidRPr="0080618C">
        <w:rPr>
          <w:rFonts w:asciiTheme="minorHAnsi" w:hAnsiTheme="minorHAnsi"/>
          <w:color w:val="000000" w:themeColor="text1"/>
          <w:sz w:val="28"/>
          <w:szCs w:val="28"/>
        </w:rPr>
        <w:t>Utilize the recommended guidelines in managing Acute Seizures- Status Epilepticus</w:t>
      </w:r>
    </w:p>
    <w:p w:rsidR="00495916" w:rsidRPr="0080618C" w:rsidRDefault="00495916" w:rsidP="00495916">
      <w:pPr>
        <w:jc w:val="center"/>
        <w:rPr>
          <w:b/>
          <w:noProof/>
          <w:color w:val="1F497D" w:themeColor="text2"/>
          <w:sz w:val="18"/>
          <w:szCs w:val="32"/>
        </w:rPr>
      </w:pPr>
    </w:p>
    <w:p w:rsidR="002F3EFD" w:rsidRPr="0080618C" w:rsidRDefault="002F3EFD" w:rsidP="00C73AC4">
      <w:pPr>
        <w:rPr>
          <w:rFonts w:eastAsia="Times New Roman" w:cs="Calibri"/>
          <w:color w:val="000000"/>
          <w:sz w:val="18"/>
          <w:szCs w:val="22"/>
          <w:lang w:eastAsia="en-US"/>
        </w:rPr>
      </w:pPr>
      <w:r w:rsidRPr="0080618C">
        <w:rPr>
          <w:rFonts w:eastAsia="Times New Roman" w:cs="Calibri"/>
          <w:b/>
          <w:color w:val="000000"/>
          <w:sz w:val="18"/>
          <w:szCs w:val="22"/>
          <w:lang w:eastAsia="en-US"/>
        </w:rPr>
        <w:t xml:space="preserve">Financial Disclosures:  </w:t>
      </w:r>
      <w:r w:rsidR="003549A1" w:rsidRPr="0080618C">
        <w:rPr>
          <w:rFonts w:eastAsia="Times New Roman" w:cs="Calibri"/>
          <w:color w:val="000000"/>
          <w:sz w:val="18"/>
          <w:szCs w:val="22"/>
          <w:lang w:eastAsia="en-US"/>
        </w:rPr>
        <w:t xml:space="preserve">Anna </w:t>
      </w:r>
      <w:proofErr w:type="spellStart"/>
      <w:r w:rsidR="003549A1" w:rsidRPr="0080618C">
        <w:rPr>
          <w:rFonts w:eastAsia="Times New Roman" w:cs="Calibri"/>
          <w:color w:val="000000"/>
          <w:sz w:val="18"/>
          <w:szCs w:val="22"/>
          <w:lang w:eastAsia="en-US"/>
        </w:rPr>
        <w:t>Cant</w:t>
      </w:r>
      <w:r w:rsidRPr="0080618C">
        <w:rPr>
          <w:rFonts w:eastAsia="Times New Roman" w:cs="Calibri"/>
          <w:color w:val="000000"/>
          <w:sz w:val="18"/>
          <w:szCs w:val="22"/>
          <w:lang w:eastAsia="en-US"/>
        </w:rPr>
        <w:t>in</w:t>
      </w:r>
      <w:proofErr w:type="spellEnd"/>
      <w:r w:rsidRPr="0080618C">
        <w:rPr>
          <w:rFonts w:eastAsia="Times New Roman" w:cs="Calibri"/>
          <w:color w:val="000000"/>
          <w:sz w:val="18"/>
          <w:szCs w:val="22"/>
          <w:lang w:eastAsia="en-US"/>
        </w:rPr>
        <w:t>, PharmD, (Pharmacy Planner, Faculty) has disclosures she receives a consulting fee from Amneal Pharmaceuticals.  This relationship has been mitigated by the planning committee to avoid any real or perceived bias.  No other planners, directors, or faculty of this activity have reported any financial relationships with ineligible companies (commercial interests).</w:t>
      </w:r>
    </w:p>
    <w:p w:rsidR="00C73AC4" w:rsidRPr="00C73AC4" w:rsidRDefault="002F3EFD" w:rsidP="00C73AC4">
      <w:pPr>
        <w:rPr>
          <w:rFonts w:eastAsia="Times New Roman" w:cs="Calibri"/>
          <w:color w:val="000000"/>
          <w:sz w:val="18"/>
          <w:szCs w:val="22"/>
          <w:lang w:eastAsia="en-US"/>
        </w:rPr>
      </w:pPr>
      <w:r w:rsidRPr="0080618C">
        <w:rPr>
          <w:rFonts w:eastAsia="Times New Roman" w:cs="Calibri"/>
          <w:b/>
          <w:color w:val="000000"/>
          <w:sz w:val="18"/>
          <w:szCs w:val="22"/>
          <w:lang w:eastAsia="en-US"/>
        </w:rPr>
        <w:t xml:space="preserve">Accreditation Statement:  </w:t>
      </w:r>
      <w:r w:rsidR="00C73AC4" w:rsidRPr="00C73AC4">
        <w:rPr>
          <w:rFonts w:eastAsia="Times New Roman" w:cs="Calibri"/>
          <w:color w:val="000000"/>
          <w:sz w:val="18"/>
          <w:szCs w:val="22"/>
          <w:lang w:eastAsia="en-US"/>
        </w:rPr>
        <w:t>In support of improving patient care, Hartford HealthCare is jointly accredited by the Accreditation Council for Continuing Medical Education (ACCME), the Accreditation Council for Pharmacy Education (ACPE), and the American Nurses Credentialing Center (ANCC) to provide continuing education for the healthcare team.</w:t>
      </w:r>
    </w:p>
    <w:p w:rsidR="002F3EFD" w:rsidRPr="0080618C" w:rsidRDefault="002F3EFD" w:rsidP="002F3EFD">
      <w:pPr>
        <w:rPr>
          <w:rFonts w:eastAsia="Times New Roman" w:cs="Calibri"/>
          <w:b/>
          <w:bCs/>
          <w:color w:val="000000"/>
          <w:sz w:val="18"/>
          <w:szCs w:val="22"/>
          <w:lang w:eastAsia="en-US"/>
        </w:rPr>
      </w:pPr>
      <w:r w:rsidRPr="0080618C">
        <w:rPr>
          <w:rFonts w:eastAsia="Times New Roman" w:cs="Calibri"/>
          <w:b/>
          <w:bCs/>
          <w:color w:val="000000"/>
          <w:sz w:val="18"/>
          <w:szCs w:val="22"/>
          <w:lang w:eastAsia="en-US"/>
        </w:rPr>
        <w:t>Credit Designation Statements:</w:t>
      </w:r>
    </w:p>
    <w:p w:rsidR="00C73AC4" w:rsidRPr="0080618C" w:rsidRDefault="00C73AC4" w:rsidP="003549A1">
      <w:pPr>
        <w:pStyle w:val="ListParagraph"/>
        <w:numPr>
          <w:ilvl w:val="0"/>
          <w:numId w:val="5"/>
        </w:numPr>
        <w:rPr>
          <w:rFonts w:asciiTheme="minorHAnsi" w:eastAsia="Times New Roman" w:hAnsiTheme="minorHAnsi" w:cs="Calibri"/>
          <w:color w:val="000000"/>
          <w:sz w:val="18"/>
          <w:szCs w:val="16"/>
        </w:rPr>
      </w:pPr>
      <w:r w:rsidRPr="0080618C">
        <w:rPr>
          <w:rFonts w:asciiTheme="minorHAnsi" w:eastAsia="Times New Roman" w:hAnsiTheme="minorHAnsi" w:cs="Calibri"/>
          <w:b/>
          <w:bCs/>
          <w:color w:val="000000"/>
          <w:sz w:val="18"/>
          <w:szCs w:val="16"/>
        </w:rPr>
        <w:t>Physicians:</w:t>
      </w:r>
      <w:r w:rsidRPr="0080618C">
        <w:rPr>
          <w:rFonts w:asciiTheme="minorHAnsi" w:eastAsia="Times New Roman" w:hAnsiTheme="minorHAnsi" w:cs="Calibri"/>
          <w:color w:val="000000"/>
          <w:sz w:val="18"/>
          <w:szCs w:val="16"/>
        </w:rPr>
        <w:t xml:space="preserve"> Hartford HealthCare designates this activity for a maximum of 1.00 </w:t>
      </w:r>
      <w:r w:rsidRPr="0080618C">
        <w:rPr>
          <w:rFonts w:asciiTheme="minorHAnsi" w:eastAsia="Times New Roman" w:hAnsiTheme="minorHAnsi" w:cs="Calibri"/>
          <w:i/>
          <w:iCs/>
          <w:color w:val="000000"/>
          <w:sz w:val="18"/>
          <w:szCs w:val="16"/>
        </w:rPr>
        <w:t xml:space="preserve">AMA PRA Category 1 </w:t>
      </w:r>
      <w:proofErr w:type="spellStart"/>
      <w:r w:rsidRPr="0080618C">
        <w:rPr>
          <w:rFonts w:asciiTheme="minorHAnsi" w:eastAsia="Times New Roman" w:hAnsiTheme="minorHAnsi" w:cs="Calibri"/>
          <w:i/>
          <w:iCs/>
          <w:color w:val="000000"/>
          <w:sz w:val="18"/>
          <w:szCs w:val="16"/>
        </w:rPr>
        <w:t>Credit</w:t>
      </w:r>
      <w:r w:rsidRPr="0080618C">
        <w:rPr>
          <w:rFonts w:asciiTheme="minorHAnsi" w:eastAsia="Times New Roman" w:hAnsiTheme="minorHAnsi" w:cs="Calibri"/>
          <w:color w:val="000000"/>
          <w:sz w:val="18"/>
          <w:szCs w:val="16"/>
          <w:vertAlign w:val="superscript"/>
        </w:rPr>
        <w:t>TM</w:t>
      </w:r>
      <w:proofErr w:type="spellEnd"/>
      <w:r w:rsidRPr="0080618C">
        <w:rPr>
          <w:rFonts w:asciiTheme="minorHAnsi" w:eastAsia="Times New Roman" w:hAnsiTheme="minorHAnsi" w:cs="Calibri"/>
          <w:color w:val="000000"/>
          <w:sz w:val="18"/>
          <w:szCs w:val="16"/>
        </w:rPr>
        <w:t>.  Physicians should claim only the credit commensurate with the extent of their participation in the activity.  </w:t>
      </w:r>
    </w:p>
    <w:p w:rsidR="00C73AC4" w:rsidRPr="0080618C" w:rsidRDefault="00C73AC4" w:rsidP="003549A1">
      <w:pPr>
        <w:pStyle w:val="ListParagraph"/>
        <w:numPr>
          <w:ilvl w:val="0"/>
          <w:numId w:val="5"/>
        </w:numPr>
        <w:rPr>
          <w:rFonts w:asciiTheme="minorHAnsi" w:eastAsia="Times New Roman" w:hAnsiTheme="minorHAnsi" w:cs="Calibri"/>
          <w:color w:val="000000"/>
          <w:sz w:val="18"/>
          <w:szCs w:val="16"/>
        </w:rPr>
      </w:pPr>
      <w:r w:rsidRPr="0080618C">
        <w:rPr>
          <w:rFonts w:asciiTheme="minorHAnsi" w:eastAsia="Times New Roman" w:hAnsiTheme="minorHAnsi" w:cs="Calibri"/>
          <w:b/>
          <w:bCs/>
          <w:color w:val="000000"/>
          <w:sz w:val="18"/>
          <w:szCs w:val="16"/>
        </w:rPr>
        <w:t>Nurses:</w:t>
      </w:r>
      <w:r w:rsidRPr="0080618C">
        <w:rPr>
          <w:rFonts w:asciiTheme="minorHAnsi" w:eastAsia="Times New Roman" w:hAnsiTheme="minorHAnsi" w:cs="Calibri"/>
          <w:color w:val="000000"/>
          <w:sz w:val="18"/>
          <w:szCs w:val="16"/>
        </w:rPr>
        <w:t xml:space="preserve"> This activity is designated for a maximum of 1.00 ANCC contact hour.</w:t>
      </w:r>
    </w:p>
    <w:p w:rsidR="003549A1" w:rsidRPr="0080618C" w:rsidRDefault="00C73AC4" w:rsidP="003549A1">
      <w:pPr>
        <w:pStyle w:val="ListParagraph"/>
        <w:numPr>
          <w:ilvl w:val="0"/>
          <w:numId w:val="5"/>
        </w:numPr>
        <w:rPr>
          <w:rFonts w:asciiTheme="minorHAnsi" w:hAnsiTheme="minorHAnsi"/>
          <w:sz w:val="18"/>
          <w:szCs w:val="16"/>
        </w:rPr>
      </w:pPr>
      <w:r w:rsidRPr="0080618C">
        <w:rPr>
          <w:rFonts w:asciiTheme="minorHAnsi" w:eastAsia="Times New Roman" w:hAnsiTheme="minorHAnsi" w:cs="Calibri"/>
          <w:b/>
          <w:bCs/>
          <w:color w:val="000000"/>
          <w:sz w:val="18"/>
          <w:szCs w:val="16"/>
        </w:rPr>
        <w:t xml:space="preserve">Pharmacists: </w:t>
      </w:r>
      <w:r w:rsidRPr="0080618C">
        <w:rPr>
          <w:rFonts w:asciiTheme="minorHAnsi" w:eastAsia="Times New Roman" w:hAnsiTheme="minorHAnsi" w:cs="Calibri"/>
          <w:bCs/>
          <w:color w:val="000000"/>
          <w:sz w:val="18"/>
          <w:szCs w:val="16"/>
        </w:rPr>
        <w:t xml:space="preserve">This activity provides </w:t>
      </w:r>
      <w:r w:rsidR="002F3EFD" w:rsidRPr="0080618C">
        <w:rPr>
          <w:rFonts w:asciiTheme="minorHAnsi" w:eastAsia="Times New Roman" w:hAnsiTheme="minorHAnsi" w:cs="Calibri"/>
          <w:bCs/>
          <w:color w:val="000000"/>
          <w:sz w:val="18"/>
          <w:szCs w:val="16"/>
        </w:rPr>
        <w:t>1.0</w:t>
      </w:r>
      <w:r w:rsidRPr="0080618C">
        <w:rPr>
          <w:rFonts w:asciiTheme="minorHAnsi" w:eastAsia="Times New Roman" w:hAnsiTheme="minorHAnsi" w:cs="Calibri"/>
          <w:bCs/>
          <w:color w:val="000000"/>
          <w:sz w:val="18"/>
          <w:szCs w:val="16"/>
        </w:rPr>
        <w:t xml:space="preserve"> contact hour (</w:t>
      </w:r>
      <w:r w:rsidR="002F3EFD" w:rsidRPr="0080618C">
        <w:rPr>
          <w:rFonts w:asciiTheme="minorHAnsi" w:eastAsia="Times New Roman" w:hAnsiTheme="minorHAnsi" w:cs="Calibri"/>
          <w:bCs/>
          <w:color w:val="000000"/>
          <w:sz w:val="18"/>
          <w:szCs w:val="16"/>
        </w:rPr>
        <w:t>1</w:t>
      </w:r>
      <w:r w:rsidRPr="0080618C">
        <w:rPr>
          <w:rFonts w:asciiTheme="minorHAnsi" w:eastAsia="Times New Roman" w:hAnsiTheme="minorHAnsi" w:cs="Calibri"/>
          <w:bCs/>
          <w:color w:val="000000"/>
          <w:sz w:val="18"/>
          <w:szCs w:val="16"/>
        </w:rPr>
        <w:t xml:space="preserve"> CEU) of continuing education credit. ACPE Universal Activity Number</w:t>
      </w:r>
      <w:r w:rsidRPr="0080618C">
        <w:rPr>
          <w:rFonts w:asciiTheme="minorHAnsi" w:eastAsia="Times New Roman" w:hAnsiTheme="minorHAnsi" w:cs="Calibri"/>
          <w:bCs/>
          <w:color w:val="000000"/>
          <w:sz w:val="18"/>
          <w:szCs w:val="16"/>
        </w:rPr>
        <w:t xml:space="preserve"> </w:t>
      </w:r>
      <w:r w:rsidRPr="0080618C">
        <w:rPr>
          <w:rFonts w:asciiTheme="minorHAnsi" w:eastAsia="Times New Roman" w:hAnsiTheme="minorHAnsi" w:cs="Calibri"/>
          <w:bCs/>
          <w:color w:val="000000"/>
          <w:sz w:val="18"/>
          <w:szCs w:val="16"/>
        </w:rPr>
        <w:t>(UAN): JA</w:t>
      </w:r>
      <w:r w:rsidR="002F3EFD" w:rsidRPr="0080618C">
        <w:rPr>
          <w:rFonts w:asciiTheme="minorHAnsi" w:eastAsia="Times New Roman" w:hAnsiTheme="minorHAnsi" w:cs="Calibri"/>
          <w:bCs/>
          <w:color w:val="000000"/>
          <w:sz w:val="18"/>
          <w:szCs w:val="16"/>
        </w:rPr>
        <w:t>4008261-0000-22-00</w:t>
      </w:r>
      <w:r w:rsidR="003549A1" w:rsidRPr="0080618C">
        <w:rPr>
          <w:rFonts w:asciiTheme="minorHAnsi" w:eastAsia="Times New Roman" w:hAnsiTheme="minorHAnsi" w:cs="Calibri"/>
          <w:bCs/>
          <w:color w:val="000000"/>
          <w:sz w:val="18"/>
          <w:szCs w:val="16"/>
        </w:rPr>
        <w:t>7</w:t>
      </w:r>
      <w:r w:rsidR="002F3EFD" w:rsidRPr="0080618C">
        <w:rPr>
          <w:rFonts w:asciiTheme="minorHAnsi" w:eastAsia="Times New Roman" w:hAnsiTheme="minorHAnsi" w:cs="Calibri"/>
          <w:bCs/>
          <w:color w:val="000000"/>
          <w:sz w:val="18"/>
          <w:szCs w:val="16"/>
        </w:rPr>
        <w:t xml:space="preserve">-L01-P. </w:t>
      </w:r>
      <w:r w:rsidRPr="0080618C">
        <w:rPr>
          <w:rFonts w:asciiTheme="minorHAnsi" w:eastAsia="Times New Roman" w:hAnsiTheme="minorHAnsi" w:cs="Calibri"/>
          <w:bCs/>
          <w:color w:val="000000"/>
          <w:sz w:val="18"/>
          <w:szCs w:val="16"/>
          <w:u w:val="single"/>
        </w:rPr>
        <w:t>NOTE FOR PHARMACISTS</w:t>
      </w:r>
      <w:r w:rsidRPr="0080618C">
        <w:rPr>
          <w:rFonts w:asciiTheme="minorHAnsi" w:eastAsia="Times New Roman" w:hAnsiTheme="minorHAnsi" w:cs="Calibri"/>
          <w:bCs/>
          <w:color w:val="000000"/>
          <w:sz w:val="18"/>
          <w:szCs w:val="16"/>
        </w:rPr>
        <w:t xml:space="preserve">: Upon closing of the online evaluation, </w:t>
      </w:r>
      <w:r w:rsidR="002F3EFD" w:rsidRPr="0080618C">
        <w:rPr>
          <w:rFonts w:asciiTheme="minorHAnsi" w:eastAsia="Times New Roman" w:hAnsiTheme="minorHAnsi" w:cs="Calibri"/>
          <w:bCs/>
          <w:color w:val="000000"/>
          <w:sz w:val="18"/>
          <w:szCs w:val="16"/>
        </w:rPr>
        <w:t>Hartford HealthCare</w:t>
      </w:r>
      <w:r w:rsidRPr="0080618C">
        <w:rPr>
          <w:rFonts w:asciiTheme="minorHAnsi" w:eastAsia="Times New Roman" w:hAnsiTheme="minorHAnsi" w:cs="Calibri"/>
          <w:bCs/>
          <w:color w:val="000000"/>
          <w:sz w:val="18"/>
          <w:szCs w:val="16"/>
        </w:rPr>
        <w:t xml:space="preserve"> will upload the pharmacy-related continuing</w:t>
      </w:r>
      <w:r w:rsidR="002F3EFD" w:rsidRPr="0080618C">
        <w:rPr>
          <w:rFonts w:asciiTheme="minorHAnsi" w:eastAsia="Times New Roman" w:hAnsiTheme="minorHAnsi" w:cs="Calibri"/>
          <w:bCs/>
          <w:color w:val="000000"/>
          <w:sz w:val="18"/>
          <w:szCs w:val="16"/>
        </w:rPr>
        <w:t xml:space="preserve"> </w:t>
      </w:r>
      <w:r w:rsidRPr="0080618C">
        <w:rPr>
          <w:rFonts w:asciiTheme="minorHAnsi" w:eastAsia="Times New Roman" w:hAnsiTheme="minorHAnsi" w:cs="Calibri"/>
          <w:bCs/>
          <w:color w:val="000000"/>
          <w:sz w:val="18"/>
          <w:szCs w:val="16"/>
        </w:rPr>
        <w:t xml:space="preserve">education information to CPE Monitor within 60 days. </w:t>
      </w:r>
      <w:r w:rsidR="002F3EFD" w:rsidRPr="0080618C">
        <w:rPr>
          <w:rFonts w:asciiTheme="minorHAnsi" w:eastAsia="Times New Roman" w:hAnsiTheme="minorHAnsi" w:cs="Calibri"/>
          <w:bCs/>
          <w:color w:val="000000"/>
          <w:sz w:val="18"/>
          <w:szCs w:val="16"/>
        </w:rPr>
        <w:t xml:space="preserve"> </w:t>
      </w:r>
      <w:r w:rsidRPr="0080618C">
        <w:rPr>
          <w:rFonts w:asciiTheme="minorHAnsi" w:eastAsia="Times New Roman" w:hAnsiTheme="minorHAnsi" w:cs="Calibri"/>
          <w:bCs/>
          <w:color w:val="000000"/>
          <w:sz w:val="18"/>
          <w:szCs w:val="16"/>
        </w:rPr>
        <w:t xml:space="preserve">Per ACPE rules, </w:t>
      </w:r>
      <w:r w:rsidR="002F3EFD" w:rsidRPr="0080618C">
        <w:rPr>
          <w:rFonts w:asciiTheme="minorHAnsi" w:eastAsia="Times New Roman" w:hAnsiTheme="minorHAnsi" w:cs="Calibri"/>
          <w:bCs/>
          <w:color w:val="000000"/>
          <w:sz w:val="18"/>
          <w:szCs w:val="16"/>
        </w:rPr>
        <w:t>Hartford HealthCare</w:t>
      </w:r>
      <w:r w:rsidRPr="0080618C">
        <w:rPr>
          <w:rFonts w:asciiTheme="minorHAnsi" w:eastAsia="Times New Roman" w:hAnsiTheme="minorHAnsi" w:cs="Calibri"/>
          <w:bCs/>
          <w:color w:val="000000"/>
          <w:sz w:val="18"/>
          <w:szCs w:val="16"/>
        </w:rPr>
        <w:t xml:space="preserve"> does not have access nor </w:t>
      </w:r>
      <w:proofErr w:type="gramStart"/>
      <w:r w:rsidRPr="0080618C">
        <w:rPr>
          <w:rFonts w:asciiTheme="minorHAnsi" w:eastAsia="Times New Roman" w:hAnsiTheme="minorHAnsi" w:cs="Calibri"/>
          <w:bCs/>
          <w:color w:val="000000"/>
          <w:sz w:val="18"/>
          <w:szCs w:val="16"/>
        </w:rPr>
        <w:t>the ability to</w:t>
      </w:r>
      <w:r w:rsidR="002F3EFD" w:rsidRPr="0080618C">
        <w:rPr>
          <w:rFonts w:asciiTheme="minorHAnsi" w:eastAsia="Times New Roman" w:hAnsiTheme="minorHAnsi" w:cs="Calibri"/>
          <w:bCs/>
          <w:color w:val="000000"/>
          <w:sz w:val="18"/>
          <w:szCs w:val="16"/>
        </w:rPr>
        <w:t xml:space="preserve"> </w:t>
      </w:r>
      <w:r w:rsidRPr="0080618C">
        <w:rPr>
          <w:rFonts w:asciiTheme="minorHAnsi" w:eastAsia="Times New Roman" w:hAnsiTheme="minorHAnsi" w:cs="Calibri"/>
          <w:bCs/>
          <w:color w:val="000000"/>
          <w:sz w:val="18"/>
          <w:szCs w:val="16"/>
        </w:rPr>
        <w:t>upload credits requested after the evaluation closes</w:t>
      </w:r>
      <w:proofErr w:type="gramEnd"/>
      <w:r w:rsidRPr="0080618C">
        <w:rPr>
          <w:rFonts w:asciiTheme="minorHAnsi" w:eastAsia="Times New Roman" w:hAnsiTheme="minorHAnsi" w:cs="Calibri"/>
          <w:bCs/>
          <w:color w:val="000000"/>
          <w:sz w:val="18"/>
          <w:szCs w:val="16"/>
        </w:rPr>
        <w:t xml:space="preserve">. </w:t>
      </w:r>
      <w:r w:rsidR="002F3EFD" w:rsidRPr="0080618C">
        <w:rPr>
          <w:rFonts w:asciiTheme="minorHAnsi" w:eastAsia="Times New Roman" w:hAnsiTheme="minorHAnsi" w:cs="Calibri"/>
          <w:bCs/>
          <w:color w:val="000000"/>
          <w:sz w:val="18"/>
          <w:szCs w:val="16"/>
        </w:rPr>
        <w:t xml:space="preserve"> </w:t>
      </w:r>
      <w:r w:rsidRPr="0080618C">
        <w:rPr>
          <w:rFonts w:asciiTheme="minorHAnsi" w:eastAsia="Times New Roman" w:hAnsiTheme="minorHAnsi" w:cs="Calibri"/>
          <w:bCs/>
          <w:color w:val="000000"/>
          <w:sz w:val="18"/>
          <w:szCs w:val="16"/>
        </w:rPr>
        <w:t>It is the responsibility of the pharmacist or pharmacy technician to</w:t>
      </w:r>
      <w:r w:rsidR="002F3EFD" w:rsidRPr="0080618C">
        <w:rPr>
          <w:rFonts w:asciiTheme="minorHAnsi" w:eastAsia="Times New Roman" w:hAnsiTheme="minorHAnsi" w:cs="Calibri"/>
          <w:bCs/>
          <w:color w:val="000000"/>
          <w:sz w:val="18"/>
          <w:szCs w:val="16"/>
        </w:rPr>
        <w:t xml:space="preserve"> </w:t>
      </w:r>
      <w:r w:rsidRPr="0080618C">
        <w:rPr>
          <w:rFonts w:asciiTheme="minorHAnsi" w:eastAsia="Times New Roman" w:hAnsiTheme="minorHAnsi" w:cs="Calibri"/>
          <w:bCs/>
          <w:color w:val="000000"/>
          <w:sz w:val="18"/>
          <w:szCs w:val="16"/>
        </w:rPr>
        <w:t>provide the correct information [NABP ePID and DOB (in MMDD format)] in order to receive credit for participating in a CE</w:t>
      </w:r>
      <w:r w:rsidR="002F3EFD" w:rsidRPr="0080618C">
        <w:rPr>
          <w:rFonts w:asciiTheme="minorHAnsi" w:eastAsia="Times New Roman" w:hAnsiTheme="minorHAnsi" w:cs="Calibri"/>
          <w:bCs/>
          <w:color w:val="000000"/>
          <w:sz w:val="18"/>
          <w:szCs w:val="16"/>
        </w:rPr>
        <w:t xml:space="preserve"> activity.</w:t>
      </w:r>
    </w:p>
    <w:p w:rsidR="00C73AC4" w:rsidRPr="0080618C" w:rsidRDefault="00C73AC4" w:rsidP="003549A1">
      <w:pPr>
        <w:pStyle w:val="ListParagraph"/>
        <w:numPr>
          <w:ilvl w:val="0"/>
          <w:numId w:val="5"/>
        </w:numPr>
        <w:rPr>
          <w:rFonts w:asciiTheme="minorHAnsi" w:hAnsiTheme="minorHAnsi"/>
          <w:sz w:val="18"/>
          <w:szCs w:val="16"/>
        </w:rPr>
      </w:pPr>
      <w:r w:rsidRPr="0080618C">
        <w:rPr>
          <w:rFonts w:asciiTheme="minorHAnsi" w:eastAsia="Times New Roman" w:hAnsiTheme="minorHAnsi" w:cs="Calibri"/>
          <w:b/>
          <w:bCs/>
          <w:color w:val="000000"/>
          <w:sz w:val="18"/>
          <w:szCs w:val="16"/>
        </w:rPr>
        <w:t>Other Learners:</w:t>
      </w:r>
      <w:r w:rsidRPr="0080618C">
        <w:rPr>
          <w:rFonts w:asciiTheme="minorHAnsi" w:eastAsia="Times New Roman" w:hAnsiTheme="minorHAnsi" w:cs="Calibri"/>
          <w:color w:val="000000"/>
          <w:sz w:val="18"/>
          <w:szCs w:val="16"/>
        </w:rPr>
        <w:t xml:space="preserve"> All other learners will receive a Certificate of Participation.  Consult your professional licensing board regarding the applicability and acceptance of certificates of participation for educational activities certified for </w:t>
      </w:r>
      <w:r w:rsidRPr="0080618C">
        <w:rPr>
          <w:rFonts w:asciiTheme="minorHAnsi" w:eastAsia="Times New Roman" w:hAnsiTheme="minorHAnsi" w:cs="Calibri"/>
          <w:i/>
          <w:iCs/>
          <w:color w:val="000000"/>
          <w:sz w:val="18"/>
          <w:szCs w:val="16"/>
        </w:rPr>
        <w:t>AMA PRA Category 1 Credit</w:t>
      </w:r>
      <w:r w:rsidR="003549A1" w:rsidRPr="0080618C">
        <w:rPr>
          <w:rFonts w:asciiTheme="minorHAnsi" w:eastAsia="Times New Roman" w:hAnsiTheme="minorHAnsi" w:cs="Calibri"/>
          <w:color w:val="000000"/>
          <w:sz w:val="18"/>
          <w:szCs w:val="16"/>
        </w:rPr>
        <w:t xml:space="preserve">™ </w:t>
      </w:r>
      <w:r w:rsidRPr="0080618C">
        <w:rPr>
          <w:rFonts w:asciiTheme="minorHAnsi" w:eastAsia="Times New Roman" w:hAnsiTheme="minorHAnsi" w:cs="Calibri"/>
          <w:color w:val="000000"/>
          <w:sz w:val="18"/>
          <w:szCs w:val="16"/>
        </w:rPr>
        <w:t>from organizations accredited by Joint Accreditation for Interprofessional Continuing Education.</w:t>
      </w:r>
    </w:p>
    <w:sectPr w:rsidR="00C73AC4" w:rsidRPr="0080618C" w:rsidSect="003549A1">
      <w:pgSz w:w="12240" w:h="15840"/>
      <w:pgMar w:top="288" w:right="432" w:bottom="288" w:left="432" w:header="720" w:footer="57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470A"/>
    <w:multiLevelType w:val="hybridMultilevel"/>
    <w:tmpl w:val="3C6ECA82"/>
    <w:lvl w:ilvl="0" w:tplc="FE662C34">
      <w:start w:val="1"/>
      <w:numFmt w:val="bullet"/>
      <w:lvlText w:val=""/>
      <w:lvlJc w:val="left"/>
      <w:pPr>
        <w:ind w:left="720" w:hanging="360"/>
      </w:pPr>
      <w:rPr>
        <w:rFonts w:ascii="Symbol" w:hAnsi="Symbol" w:hint="default"/>
      </w:rPr>
    </w:lvl>
    <w:lvl w:ilvl="1" w:tplc="4E0821B6" w:tentative="1">
      <w:start w:val="1"/>
      <w:numFmt w:val="bullet"/>
      <w:lvlText w:val="o"/>
      <w:lvlJc w:val="left"/>
      <w:pPr>
        <w:ind w:left="1440" w:hanging="360"/>
      </w:pPr>
      <w:rPr>
        <w:rFonts w:ascii="Courier New" w:hAnsi="Courier New" w:cs="Courier New" w:hint="default"/>
      </w:rPr>
    </w:lvl>
    <w:lvl w:ilvl="2" w:tplc="8430BCAC" w:tentative="1">
      <w:start w:val="1"/>
      <w:numFmt w:val="bullet"/>
      <w:lvlText w:val=""/>
      <w:lvlJc w:val="left"/>
      <w:pPr>
        <w:ind w:left="2160" w:hanging="360"/>
      </w:pPr>
      <w:rPr>
        <w:rFonts w:ascii="Wingdings" w:hAnsi="Wingdings" w:hint="default"/>
      </w:rPr>
    </w:lvl>
    <w:lvl w:ilvl="3" w:tplc="B27A6640" w:tentative="1">
      <w:start w:val="1"/>
      <w:numFmt w:val="bullet"/>
      <w:lvlText w:val=""/>
      <w:lvlJc w:val="left"/>
      <w:pPr>
        <w:ind w:left="2880" w:hanging="360"/>
      </w:pPr>
      <w:rPr>
        <w:rFonts w:ascii="Symbol" w:hAnsi="Symbol" w:hint="default"/>
      </w:rPr>
    </w:lvl>
    <w:lvl w:ilvl="4" w:tplc="2E5029F6" w:tentative="1">
      <w:start w:val="1"/>
      <w:numFmt w:val="bullet"/>
      <w:lvlText w:val="o"/>
      <w:lvlJc w:val="left"/>
      <w:pPr>
        <w:ind w:left="3600" w:hanging="360"/>
      </w:pPr>
      <w:rPr>
        <w:rFonts w:ascii="Courier New" w:hAnsi="Courier New" w:cs="Courier New" w:hint="default"/>
      </w:rPr>
    </w:lvl>
    <w:lvl w:ilvl="5" w:tplc="23804AC0" w:tentative="1">
      <w:start w:val="1"/>
      <w:numFmt w:val="bullet"/>
      <w:lvlText w:val=""/>
      <w:lvlJc w:val="left"/>
      <w:pPr>
        <w:ind w:left="4320" w:hanging="360"/>
      </w:pPr>
      <w:rPr>
        <w:rFonts w:ascii="Wingdings" w:hAnsi="Wingdings" w:hint="default"/>
      </w:rPr>
    </w:lvl>
    <w:lvl w:ilvl="6" w:tplc="3F46EFDC" w:tentative="1">
      <w:start w:val="1"/>
      <w:numFmt w:val="bullet"/>
      <w:lvlText w:val=""/>
      <w:lvlJc w:val="left"/>
      <w:pPr>
        <w:ind w:left="5040" w:hanging="360"/>
      </w:pPr>
      <w:rPr>
        <w:rFonts w:ascii="Symbol" w:hAnsi="Symbol" w:hint="default"/>
      </w:rPr>
    </w:lvl>
    <w:lvl w:ilvl="7" w:tplc="82CE7832" w:tentative="1">
      <w:start w:val="1"/>
      <w:numFmt w:val="bullet"/>
      <w:lvlText w:val="o"/>
      <w:lvlJc w:val="left"/>
      <w:pPr>
        <w:ind w:left="5760" w:hanging="360"/>
      </w:pPr>
      <w:rPr>
        <w:rFonts w:ascii="Courier New" w:hAnsi="Courier New" w:cs="Courier New" w:hint="default"/>
      </w:rPr>
    </w:lvl>
    <w:lvl w:ilvl="8" w:tplc="BB8EE994" w:tentative="1">
      <w:start w:val="1"/>
      <w:numFmt w:val="bullet"/>
      <w:lvlText w:val=""/>
      <w:lvlJc w:val="left"/>
      <w:pPr>
        <w:ind w:left="6480" w:hanging="360"/>
      </w:pPr>
      <w:rPr>
        <w:rFonts w:ascii="Wingdings" w:hAnsi="Wingdings" w:hint="default"/>
      </w:rPr>
    </w:lvl>
  </w:abstractNum>
  <w:abstractNum w:abstractNumId="1" w15:restartNumberingAfterBreak="0">
    <w:nsid w:val="24FD3182"/>
    <w:multiLevelType w:val="hybridMultilevel"/>
    <w:tmpl w:val="23527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9E6749"/>
    <w:multiLevelType w:val="hybridMultilevel"/>
    <w:tmpl w:val="BC02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609E6"/>
    <w:multiLevelType w:val="hybridMultilevel"/>
    <w:tmpl w:val="C262B4C0"/>
    <w:lvl w:ilvl="0" w:tplc="B0AC69C2">
      <w:start w:val="1"/>
      <w:numFmt w:val="decimal"/>
      <w:lvlText w:val="%1."/>
      <w:lvlJc w:val="left"/>
      <w:pPr>
        <w:ind w:left="990" w:hanging="360"/>
      </w:pPr>
    </w:lvl>
    <w:lvl w:ilvl="1" w:tplc="96EED45C" w:tentative="1">
      <w:start w:val="1"/>
      <w:numFmt w:val="lowerLetter"/>
      <w:lvlText w:val="%2."/>
      <w:lvlJc w:val="left"/>
      <w:pPr>
        <w:ind w:left="1440" w:hanging="360"/>
      </w:pPr>
    </w:lvl>
    <w:lvl w:ilvl="2" w:tplc="81B2F6C6" w:tentative="1">
      <w:start w:val="1"/>
      <w:numFmt w:val="lowerRoman"/>
      <w:lvlText w:val="%3."/>
      <w:lvlJc w:val="right"/>
      <w:pPr>
        <w:ind w:left="2160" w:hanging="180"/>
      </w:pPr>
    </w:lvl>
    <w:lvl w:ilvl="3" w:tplc="C09A68FC" w:tentative="1">
      <w:start w:val="1"/>
      <w:numFmt w:val="decimal"/>
      <w:lvlText w:val="%4."/>
      <w:lvlJc w:val="left"/>
      <w:pPr>
        <w:ind w:left="2880" w:hanging="360"/>
      </w:pPr>
    </w:lvl>
    <w:lvl w:ilvl="4" w:tplc="F34C3CD6" w:tentative="1">
      <w:start w:val="1"/>
      <w:numFmt w:val="lowerLetter"/>
      <w:lvlText w:val="%5."/>
      <w:lvlJc w:val="left"/>
      <w:pPr>
        <w:ind w:left="3600" w:hanging="360"/>
      </w:pPr>
    </w:lvl>
    <w:lvl w:ilvl="5" w:tplc="3788C256" w:tentative="1">
      <w:start w:val="1"/>
      <w:numFmt w:val="lowerRoman"/>
      <w:lvlText w:val="%6."/>
      <w:lvlJc w:val="right"/>
      <w:pPr>
        <w:ind w:left="4320" w:hanging="180"/>
      </w:pPr>
    </w:lvl>
    <w:lvl w:ilvl="6" w:tplc="01D6C80C" w:tentative="1">
      <w:start w:val="1"/>
      <w:numFmt w:val="decimal"/>
      <w:lvlText w:val="%7."/>
      <w:lvlJc w:val="left"/>
      <w:pPr>
        <w:ind w:left="5040" w:hanging="360"/>
      </w:pPr>
    </w:lvl>
    <w:lvl w:ilvl="7" w:tplc="FC7A5B94" w:tentative="1">
      <w:start w:val="1"/>
      <w:numFmt w:val="lowerLetter"/>
      <w:lvlText w:val="%8."/>
      <w:lvlJc w:val="left"/>
      <w:pPr>
        <w:ind w:left="5760" w:hanging="360"/>
      </w:pPr>
    </w:lvl>
    <w:lvl w:ilvl="8" w:tplc="C5F4BFAA" w:tentative="1">
      <w:start w:val="1"/>
      <w:numFmt w:val="lowerRoman"/>
      <w:lvlText w:val="%9."/>
      <w:lvlJc w:val="right"/>
      <w:pPr>
        <w:ind w:left="6480" w:hanging="180"/>
      </w:pPr>
    </w:lvl>
  </w:abstractNum>
  <w:abstractNum w:abstractNumId="4" w15:restartNumberingAfterBreak="0">
    <w:nsid w:val="76FE5087"/>
    <w:multiLevelType w:val="hybridMultilevel"/>
    <w:tmpl w:val="7A5C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52"/>
    <w:rsid w:val="000043BE"/>
    <w:rsid w:val="00162367"/>
    <w:rsid w:val="002F3EFD"/>
    <w:rsid w:val="003549A1"/>
    <w:rsid w:val="003D461B"/>
    <w:rsid w:val="00466752"/>
    <w:rsid w:val="00495916"/>
    <w:rsid w:val="00576770"/>
    <w:rsid w:val="005B2AB4"/>
    <w:rsid w:val="00645B39"/>
    <w:rsid w:val="0065572F"/>
    <w:rsid w:val="0068538F"/>
    <w:rsid w:val="006E622E"/>
    <w:rsid w:val="0080618C"/>
    <w:rsid w:val="00824D13"/>
    <w:rsid w:val="008622AE"/>
    <w:rsid w:val="009D6862"/>
    <w:rsid w:val="00C73AC4"/>
    <w:rsid w:val="00CD4A43"/>
    <w:rsid w:val="00D440D5"/>
    <w:rsid w:val="00D67929"/>
    <w:rsid w:val="00DD485E"/>
    <w:rsid w:val="00DE236C"/>
    <w:rsid w:val="00F9230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CCA4D13-4486-465D-AC89-311CDAAC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F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7C27"/>
    <w:rPr>
      <w:rFonts w:ascii="Lucida Grande" w:hAnsi="Lucida Grande"/>
      <w:sz w:val="18"/>
      <w:szCs w:val="18"/>
    </w:rPr>
  </w:style>
  <w:style w:type="paragraph" w:styleId="Header">
    <w:name w:val="header"/>
    <w:basedOn w:val="Normal"/>
    <w:link w:val="HeaderChar"/>
    <w:uiPriority w:val="99"/>
    <w:unhideWhenUsed/>
    <w:rsid w:val="00CC6964"/>
    <w:pPr>
      <w:tabs>
        <w:tab w:val="center" w:pos="4680"/>
        <w:tab w:val="right" w:pos="9360"/>
      </w:tabs>
    </w:pPr>
  </w:style>
  <w:style w:type="character" w:customStyle="1" w:styleId="HeaderChar">
    <w:name w:val="Header Char"/>
    <w:basedOn w:val="DefaultParagraphFont"/>
    <w:link w:val="Header"/>
    <w:uiPriority w:val="99"/>
    <w:rsid w:val="00CC6964"/>
    <w:rPr>
      <w:sz w:val="24"/>
      <w:szCs w:val="24"/>
    </w:rPr>
  </w:style>
  <w:style w:type="paragraph" w:styleId="Footer">
    <w:name w:val="footer"/>
    <w:basedOn w:val="Normal"/>
    <w:link w:val="FooterChar"/>
    <w:uiPriority w:val="99"/>
    <w:unhideWhenUsed/>
    <w:rsid w:val="00CC6964"/>
    <w:pPr>
      <w:tabs>
        <w:tab w:val="center" w:pos="4680"/>
        <w:tab w:val="right" w:pos="9360"/>
      </w:tabs>
    </w:pPr>
  </w:style>
  <w:style w:type="character" w:customStyle="1" w:styleId="FooterChar">
    <w:name w:val="Footer Char"/>
    <w:basedOn w:val="DefaultParagraphFont"/>
    <w:link w:val="Footer"/>
    <w:uiPriority w:val="99"/>
    <w:rsid w:val="00CC6964"/>
    <w:rPr>
      <w:sz w:val="24"/>
      <w:szCs w:val="24"/>
    </w:rPr>
  </w:style>
  <w:style w:type="character" w:styleId="Hyperlink">
    <w:name w:val="Hyperlink"/>
    <w:uiPriority w:val="99"/>
    <w:unhideWhenUsed/>
    <w:rsid w:val="007D5704"/>
    <w:rPr>
      <w:color w:val="0000FF"/>
      <w:u w:val="single"/>
    </w:rPr>
  </w:style>
  <w:style w:type="paragraph" w:styleId="ListParagraph">
    <w:name w:val="List Paragraph"/>
    <w:basedOn w:val="Normal"/>
    <w:uiPriority w:val="34"/>
    <w:qFormat/>
    <w:rsid w:val="007D5704"/>
    <w:pPr>
      <w:ind w:left="720"/>
      <w:contextualSpacing/>
    </w:pPr>
    <w:rPr>
      <w:rFonts w:ascii="Cambria" w:eastAsia="MS Mincho" w:hAnsi="Cambria" w:cs="Times New Roman"/>
      <w:lang w:eastAsia="en-US"/>
    </w:rPr>
  </w:style>
  <w:style w:type="character" w:styleId="Strong">
    <w:name w:val="Strong"/>
    <w:basedOn w:val="DefaultParagraphFont"/>
    <w:uiPriority w:val="22"/>
    <w:qFormat/>
    <w:rsid w:val="003231D4"/>
    <w:rPr>
      <w:b/>
      <w:bCs/>
    </w:rPr>
  </w:style>
  <w:style w:type="paragraph" w:styleId="NormalWeb">
    <w:name w:val="Normal (Web)"/>
    <w:basedOn w:val="Normal"/>
    <w:uiPriority w:val="99"/>
    <w:semiHidden/>
    <w:unhideWhenUsed/>
    <w:rsid w:val="009D6862"/>
    <w:pPr>
      <w:spacing w:before="100" w:beforeAutospacing="1" w:after="100" w:afterAutospacing="1"/>
    </w:pPr>
    <w:rPr>
      <w:rFonts w:ascii="Times New Roman" w:eastAsiaTheme="minorHAns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968">
      <w:bodyDiv w:val="1"/>
      <w:marLeft w:val="0"/>
      <w:marRight w:val="0"/>
      <w:marTop w:val="0"/>
      <w:marBottom w:val="0"/>
      <w:divBdr>
        <w:top w:val="none" w:sz="0" w:space="0" w:color="auto"/>
        <w:left w:val="none" w:sz="0" w:space="0" w:color="auto"/>
        <w:bottom w:val="none" w:sz="0" w:space="0" w:color="auto"/>
        <w:right w:val="none" w:sz="0" w:space="0" w:color="auto"/>
      </w:divBdr>
    </w:div>
    <w:div w:id="788427733">
      <w:bodyDiv w:val="1"/>
      <w:marLeft w:val="0"/>
      <w:marRight w:val="0"/>
      <w:marTop w:val="0"/>
      <w:marBottom w:val="0"/>
      <w:divBdr>
        <w:top w:val="none" w:sz="0" w:space="0" w:color="auto"/>
        <w:left w:val="none" w:sz="0" w:space="0" w:color="auto"/>
        <w:bottom w:val="none" w:sz="0" w:space="0" w:color="auto"/>
        <w:right w:val="none" w:sz="0" w:space="0" w:color="auto"/>
      </w:divBdr>
    </w:div>
    <w:div w:id="849871838">
      <w:bodyDiv w:val="1"/>
      <w:marLeft w:val="0"/>
      <w:marRight w:val="0"/>
      <w:marTop w:val="0"/>
      <w:marBottom w:val="0"/>
      <w:divBdr>
        <w:top w:val="none" w:sz="0" w:space="0" w:color="auto"/>
        <w:left w:val="none" w:sz="0" w:space="0" w:color="auto"/>
        <w:bottom w:val="none" w:sz="0" w:space="0" w:color="auto"/>
        <w:right w:val="none" w:sz="0" w:space="0" w:color="auto"/>
      </w:divBdr>
    </w:div>
    <w:div w:id="988939227">
      <w:bodyDiv w:val="1"/>
      <w:marLeft w:val="0"/>
      <w:marRight w:val="0"/>
      <w:marTop w:val="0"/>
      <w:marBottom w:val="0"/>
      <w:divBdr>
        <w:top w:val="none" w:sz="0" w:space="0" w:color="auto"/>
        <w:left w:val="none" w:sz="0" w:space="0" w:color="auto"/>
        <w:bottom w:val="none" w:sz="0" w:space="0" w:color="auto"/>
        <w:right w:val="none" w:sz="0" w:space="0" w:color="auto"/>
      </w:divBdr>
    </w:div>
    <w:div w:id="1625772606">
      <w:bodyDiv w:val="1"/>
      <w:marLeft w:val="0"/>
      <w:marRight w:val="0"/>
      <w:marTop w:val="0"/>
      <w:marBottom w:val="0"/>
      <w:divBdr>
        <w:top w:val="none" w:sz="0" w:space="0" w:color="auto"/>
        <w:left w:val="none" w:sz="0" w:space="0" w:color="auto"/>
        <w:bottom w:val="none" w:sz="0" w:space="0" w:color="auto"/>
        <w:right w:val="none" w:sz="0" w:space="0" w:color="auto"/>
      </w:divBdr>
    </w:div>
    <w:div w:id="1961917818">
      <w:bodyDiv w:val="1"/>
      <w:marLeft w:val="0"/>
      <w:marRight w:val="0"/>
      <w:marTop w:val="0"/>
      <w:marBottom w:val="0"/>
      <w:divBdr>
        <w:top w:val="none" w:sz="0" w:space="0" w:color="auto"/>
        <w:left w:val="none" w:sz="0" w:space="0" w:color="auto"/>
        <w:bottom w:val="none" w:sz="0" w:space="0" w:color="auto"/>
        <w:right w:val="none" w:sz="0" w:space="0" w:color="auto"/>
      </w:divBdr>
    </w:div>
    <w:div w:id="2064400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artfordhealthcare.zoom.us/j/990333002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4EDF1-1A38-419A-BCF7-5C904C5A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Hartford HealthCare</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Gartley, Deborah</cp:lastModifiedBy>
  <cp:revision>3</cp:revision>
  <cp:lastPrinted>2020-08-05T18:15:00Z</cp:lastPrinted>
  <dcterms:created xsi:type="dcterms:W3CDTF">2022-05-19T20:18:00Z</dcterms:created>
  <dcterms:modified xsi:type="dcterms:W3CDTF">2022-05-19T20:19:00Z</dcterms:modified>
</cp:coreProperties>
</file>